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решению Совета </w:t>
      </w:r>
    </w:p>
    <w:p>
      <w:pPr>
        <w:pStyle w:val="Normal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Сеготского сельского поселения </w:t>
      </w:r>
    </w:p>
    <w:p>
      <w:pPr>
        <w:pStyle w:val="Normal"/>
        <w:ind w:right="-81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10  от 26.12.2016г.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>
      <w:pPr>
        <w:pStyle w:val="Style16"/>
        <w:ind w:first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изменений и дополнений  в Правила землепользования и застройки Сеготского сельского поселения Пучежского муниципального района Ивановской области,</w:t>
      </w:r>
    </w:p>
    <w:p>
      <w:pPr>
        <w:pStyle w:val="Style16"/>
        <w:ind w:first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принятые решением Совета Сеготского сельского поселения Пучежского муниципального района Ивановской области от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ст.42. «Карта градостроительного зонирования территории Сеготского сельского поселения» читать в новой редакции: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«1. На карте границ территориальных зон выделены территориальные зоны,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(ст. 43.1 – 43.7).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  <w:spacing w:val="6"/>
          <w:sz w:val="24"/>
          <w:szCs w:val="24"/>
        </w:rPr>
        <w:t xml:space="preserve">2. Границы территориальных зон должны отвечать требованию принадлежности </w:t>
      </w:r>
      <w:r>
        <w:rPr>
          <w:b/>
          <w:i/>
          <w:spacing w:val="3"/>
          <w:sz w:val="24"/>
          <w:szCs w:val="24"/>
        </w:rPr>
        <w:t xml:space="preserve">каждого земельного участка только к одной территориальной зоне. Формирование одного </w:t>
      </w:r>
      <w:r>
        <w:rPr>
          <w:b/>
          <w:i/>
          <w:spacing w:val="-1"/>
          <w:sz w:val="24"/>
          <w:szCs w:val="24"/>
        </w:rPr>
        <w:t xml:space="preserve">земельного   участка  из   нескольких   земельных   участков,   расположенных   в   различных </w:t>
      </w:r>
      <w:r>
        <w:rPr>
          <w:b/>
          <w:i/>
          <w:sz w:val="24"/>
          <w:szCs w:val="24"/>
        </w:rPr>
        <w:t>территориальных   зонах,    не   допускается.    Территориальные   зоны,    как    правило,   не устанавливаются применительно к одному земельному участку.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3. Границы территориальных зон на карте границ территориальных зон устанавливаются по: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красным линиям;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границам земельных участков;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административным границам населённых пунктов;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естественным границам природных объектов;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иным границам.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4.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территории.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5. Границы территориальных зон, для которых отсутствует возможность однозначной картографической привязки, определены по условным линиям в увязке с границами функциональных зон генерального плана Сеготского сельского поселения, сложившейся планировки территории и существующих землепользований, иными границами, отображёнными на топографической основе, используемой для разработки карты градостроительного зонирования. Местоположение границ территориальных зон, установленных в увязке с условными линиями, подлежат уточнению, т.е. замене условно-графической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участков.»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ст.43.1 Градостроительные регламенты. Жилые зоны. «Ж-1. Зона жилой застройки» дополнить пунктом следующего содержания: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«- Максимальный процент застройки участка не должен превышать 60%»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ст.43.1 Градостроительные регламенты. Жилые зоны. «Ж-2. Зона среднеэтажной жилой застройки» дополнить  пунктом следующего содержания: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«- Максимальный процент застройки участка не должен превышать 60%»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ст.43.2 Градостроительные регламенты. Общественно-деловые и коммерческие зоны. «О-1. Зона административно-деловой застройки» дополнить пунктами следующего содержания:</w:t>
      </w:r>
    </w:p>
    <w:p>
      <w:pPr>
        <w:pStyle w:val="Normal"/>
        <w:jc w:val="both"/>
        <w:rPr>
          <w:b/>
          <w:b/>
          <w:bCs/>
          <w:i/>
          <w:i/>
          <w:color w:val="FF0000"/>
          <w:sz w:val="24"/>
          <w:szCs w:val="24"/>
        </w:rPr>
      </w:pPr>
      <w:r>
        <w:rPr>
          <w:b/>
          <w:bCs/>
          <w:i/>
          <w:sz w:val="24"/>
          <w:szCs w:val="24"/>
        </w:rPr>
        <w:t>«-минимальный размер земельного участка – 10кв.м на 1 рабочее место;</w:t>
      </w:r>
      <w:r>
        <w:rPr>
          <w:b/>
          <w:bCs/>
          <w:i/>
          <w:color w:val="FF0000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предельная высота зданий 12 метров;</w:t>
      </w:r>
    </w:p>
    <w:p>
      <w:pPr>
        <w:pStyle w:val="2"/>
        <w:tabs>
          <w:tab w:val="left" w:pos="180" w:leader="none"/>
          <w:tab w:val="left" w:pos="502" w:leader="none"/>
        </w:tabs>
        <w:ind w:hanging="0"/>
        <w:rPr>
          <w:bCs/>
          <w:i/>
          <w:i/>
          <w:color w:val="00000A"/>
          <w:szCs w:val="24"/>
          <w:lang w:val="ru-RU"/>
        </w:rPr>
      </w:pPr>
      <w:r>
        <w:rPr>
          <w:bCs/>
          <w:i/>
          <w:color w:val="00000A"/>
          <w:szCs w:val="24"/>
          <w:lang w:val="ru-RU"/>
        </w:rPr>
        <w:t xml:space="preserve">- максимальный процент застройки участка не должен превышать 60%; </w:t>
      </w:r>
    </w:p>
    <w:p>
      <w:pPr>
        <w:pStyle w:val="2"/>
        <w:tabs>
          <w:tab w:val="left" w:pos="180" w:leader="none"/>
          <w:tab w:val="left" w:pos="502" w:leader="none"/>
        </w:tabs>
        <w:ind w:hanging="0"/>
        <w:rPr>
          <w:bCs/>
          <w:i/>
          <w:i/>
          <w:color w:val="00000A"/>
          <w:szCs w:val="24"/>
          <w:lang w:val="ru-RU"/>
        </w:rPr>
      </w:pPr>
      <w:r>
        <w:rPr>
          <w:bCs/>
          <w:i/>
          <w:color w:val="00000A"/>
          <w:szCs w:val="24"/>
          <w:lang w:val="ru-RU"/>
        </w:rPr>
        <w:t>-максимальный процент озеленения земельного участка –   15% площади земельного участка»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ст.43.2 Градостроительные регламенты. Общественно-деловые и коммерческие зоны. « О-2. Зона учреждений здравоохранения» дополнить пунктами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обеспечение открытости и проницаемости территорий для визуального восприятия, условий для беспрепятственного передвижения населения;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-минимальный размер земельного участка – 10 кв.м на 1 рабочее место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-предельная -высота зданий 12 метров;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максимальный процент застройки участка не должен превышать 50%»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«О-3. Зона  образовательных учреждений»  дополнить пунктом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«Условно разрешенные виды использования не предусмотрены»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ст.43.2 Градостроительные регламенты. Общественно-деловые и коммерческие зоны. «О-3. Зона  образовательных учреждений»  дополнить пунктами следующего содержания:</w:t>
      </w:r>
    </w:p>
    <w:p>
      <w:pPr>
        <w:pStyle w:val="Normal"/>
        <w:jc w:val="both"/>
        <w:rPr>
          <w:b/>
          <w:b/>
          <w:bCs/>
          <w:i/>
          <w:i/>
          <w:color w:val="FF0000"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«-минимальный размер земельного участка – 10 кв.м на 1 рабочее место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предельная высота зданий 12 метров;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максимальный процент застройки участка – 50%»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ст.43.2 Градостроительные регламенты. Общественно-деловые и коммерческие зоны. «О-4. Зона  объектов социального назначения»  дополнить разделом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««Предельные параметры разрешенного использования недвижимости»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- размер земельного участка определяется в соответствии с проектом планировки и действующими градостроительными нормативами.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- минимальные отступы от красных линий до границ земельных участков определяются в соответствии с проектом планировки.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-  максимальный процент застройки определяется проектом планировки.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- размер участков парковок и их размещение в соответствии с проектом планировки и действующими градостроительными нормами.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- высота ограждения не более 1,8 м.»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«О-5. Зона  объектов религиозного назначения»  дополнить пунктом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«Условно разрешенные виды использования для зоны  О-5 не устанавливаются.»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ст.43.2 Градостроительные регламенты. Общественно-деловые и коммерческие зоны. «О-5. Зона  объектов религиозного назначения»  дополнить пунктами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размещение сопутствующих объектов устанавливается в соответствии с проектом планировки;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осуществляется хозяйственная деятельность, не наносящая ущерб историческим памятникам;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ограждение устанавливается по согласованию в установленном законодательством порядке»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ст.43.3 Градостроительные регламенты. Производственные и коммунальные зоны. П-1. Зона  производственно-коммунальных объектов  дополнить пунктами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максимальная высота зданий 14 м;</w:t>
      </w:r>
    </w:p>
    <w:p>
      <w:pPr>
        <w:pStyle w:val="2"/>
        <w:tabs>
          <w:tab w:val="left" w:pos="180" w:leader="none"/>
        </w:tabs>
        <w:ind w:hanging="0"/>
        <w:rPr>
          <w:bCs/>
          <w:i/>
          <w:i/>
          <w:color w:val="00000A"/>
          <w:szCs w:val="24"/>
          <w:lang w:val="ru-RU"/>
        </w:rPr>
      </w:pPr>
      <w:r>
        <w:rPr>
          <w:i/>
          <w:color w:val="FF0000"/>
          <w:szCs w:val="24"/>
          <w:lang w:val="ru-RU"/>
        </w:rPr>
        <w:t xml:space="preserve">- </w:t>
      </w:r>
      <w:r>
        <w:rPr>
          <w:i/>
          <w:color w:val="00000A"/>
          <w:szCs w:val="24"/>
          <w:lang w:val="ru-RU"/>
        </w:rPr>
        <w:t xml:space="preserve"> максимальный процент застройки 70% от площади земельного участка;</w:t>
      </w:r>
    </w:p>
    <w:p>
      <w:pPr>
        <w:pStyle w:val="2"/>
        <w:tabs>
          <w:tab w:val="left" w:pos="180" w:leader="none"/>
        </w:tabs>
        <w:ind w:hanging="0"/>
        <w:rPr>
          <w:szCs w:val="24"/>
          <w:lang w:val="ru-RU"/>
        </w:rPr>
      </w:pPr>
      <w:r>
        <w:rPr>
          <w:bCs/>
          <w:i/>
          <w:color w:val="00000A"/>
          <w:szCs w:val="24"/>
          <w:lang w:val="ru-RU"/>
        </w:rPr>
        <w:t>- озеленение территории  не менее 10% площадки предприятия»</w:t>
      </w:r>
      <w:r>
        <w:rPr>
          <w:szCs w:val="24"/>
          <w:lang w:val="ru-RU"/>
        </w:rPr>
        <w:t xml:space="preserve">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Раздел «Д-1. Дороги , улицы» статьи 43.4 Террритории общего пользования читать в новой редакции: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«Зона Д-1 предназначена для формирования и развития территории улично-дорожной сети населенных пунктов.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Зона Д-1 включает в себя территорию улиц, дорог и площадей в пределах красных линий, определяемых на стадии проекта планировки, выделена с целью обеспечения правовых условий использования данных территорий для общего пользования.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Основные виды разрешенного использования: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-дороги общего пользования местного значения, улицы и проезды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-дороги федерального , регионального значения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-автостоянки открытого типа общего пользования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-автозаправочные станции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-станции технического обслуживания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-полосы лесозащитных насаждений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Вспомогательные виды разрешенного использования: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-автобусные павильоны и остановочные комплексы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-тротуары и пешеходные дорожки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-инженерные коммуникации на территории автомобильного транспорта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Условно разрешенные виды использования для зоны  Д-1 не устанавливаются</w:t>
      </w:r>
      <w:r>
        <w:rPr>
          <w:bCs/>
          <w:sz w:val="24"/>
          <w:szCs w:val="24"/>
        </w:rPr>
        <w:t xml:space="preserve"> 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Предельные параметры разрешенного использования: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размещение сопутствующих объектов устанавливается в соответствии с проектом планировки»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  «ПР-1. Зона  лесов в составе земель лесного фонда»   Природно-рекреационные зоны. ст.43.5 Градостроительные регламенты  читать в новой редакции: 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другие).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Порядок использования и охраны земель лесного фонда регулируется Земельным  и Лесным кодексами.</w:t>
      </w:r>
    </w:p>
    <w:p>
      <w:pPr>
        <w:pStyle w:val="Normal"/>
        <w:tabs>
          <w:tab w:val="left" w:pos="17291" w:leader="none"/>
          <w:tab w:val="left" w:pos="17568" w:leader="none"/>
        </w:tabs>
        <w:ind w:right="-198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Основные виды разрешенного использования: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леса;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лесопарки;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санатории, профилактории, дома отдыха;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детские оздоровительные лагеря и дачи дошкольных учреждений;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базы отдыха;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 тренировочные базы;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дома приема гостей, центры обслуживания туристов;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 предприятия общественного питания (кафе, и п.п.);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кемпинги;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 туристические маршруты;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плантации деревьев и кустарников.</w:t>
      </w:r>
    </w:p>
    <w:p>
      <w:pPr>
        <w:pStyle w:val="Normal"/>
        <w:tabs>
          <w:tab w:val="left" w:pos="17291" w:leader="none"/>
          <w:tab w:val="left" w:pos="17568" w:leader="none"/>
        </w:tabs>
        <w:ind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Вспомогательные виды разрешенного использования: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элементы дизайна, скульптурные композиции;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объекты декоративно-монументального искусства;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малые архитектурные формы;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санитарно-защитные мероприятия;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-  парковки перед объектами обслуживающих, оздоровительных и спортивных видов  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использования;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общественные туалеты;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места для пикников, вспомогательные строения и инфраструктура для отдыха;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игровые площадки;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спортплощадки;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  пункты оказания первой медицинской помощи.</w:t>
      </w:r>
    </w:p>
    <w:p>
      <w:pPr>
        <w:pStyle w:val="Normal"/>
        <w:tabs>
          <w:tab w:val="left" w:pos="720" w:leader="none"/>
          <w:tab w:val="left" w:pos="902" w:leader="none"/>
        </w:tabs>
        <w:ind w:left="-284" w:right="-198" w:hanging="0"/>
        <w:jc w:val="both"/>
        <w:rPr>
          <w:rFonts w:cs="Arial"/>
          <w:b/>
          <w:b/>
          <w:i/>
          <w:i/>
          <w:spacing w:val="4"/>
          <w:sz w:val="24"/>
          <w:szCs w:val="24"/>
        </w:rPr>
      </w:pPr>
      <w:r>
        <w:rPr>
          <w:rFonts w:cs="Arial"/>
          <w:b/>
          <w:i/>
          <w:spacing w:val="3"/>
          <w:sz w:val="24"/>
          <w:szCs w:val="24"/>
        </w:rPr>
        <w:t xml:space="preserve">-   </w:t>
      </w:r>
      <w:r>
        <w:rPr>
          <w:rFonts w:cs="Arial"/>
          <w:b/>
          <w:i/>
          <w:spacing w:val="2"/>
          <w:sz w:val="24"/>
          <w:szCs w:val="24"/>
        </w:rPr>
        <w:t>объекты пожарной охраны (гидранты, резервуары, по</w:t>
      </w:r>
      <w:r>
        <w:rPr>
          <w:rFonts w:cs="Arial"/>
          <w:b/>
          <w:i/>
          <w:spacing w:val="4"/>
          <w:sz w:val="24"/>
          <w:szCs w:val="24"/>
        </w:rPr>
        <w:t>жарные водоемы).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>-  линейные сооружения;</w:t>
      </w:r>
    </w:p>
    <w:p>
      <w:pPr>
        <w:pStyle w:val="Normal"/>
        <w:tabs>
          <w:tab w:val="left" w:pos="720" w:leader="none"/>
          <w:tab w:val="left" w:pos="902" w:leader="none"/>
        </w:tabs>
        <w:ind w:left="-284" w:right="-198" w:hanging="0"/>
        <w:jc w:val="both"/>
        <w:rPr>
          <w:rFonts w:cs="Arial"/>
          <w:b/>
          <w:b/>
          <w:i/>
          <w:i/>
          <w:spacing w:val="3"/>
          <w:sz w:val="24"/>
          <w:szCs w:val="24"/>
        </w:rPr>
      </w:pPr>
      <w:r>
        <w:rPr>
          <w:rFonts w:cs="Arial"/>
          <w:b/>
          <w:i/>
          <w:spacing w:val="3"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>Условно разрешенные виды использования не устанавливаются.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sz w:val="24"/>
          <w:szCs w:val="24"/>
        </w:rPr>
        <w:t>Предельные параметры разрешенного использования: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>Параметры разрешенного строительного изменения земельных участков, иных объектов недвижимости, расположенных в зонах лесного фонда устанавливаются в индивидуальном порядке(применительно к каждому земельному участку, объекту) Лесным кодексом РФ, порядок об охране и использовании земель лесного фонда регулируется Земельным кодексом РФ и и лесным законодательством.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</w:r>
    </w:p>
    <w:p>
      <w:pPr>
        <w:pStyle w:val="Normal"/>
        <w:tabs>
          <w:tab w:val="left" w:pos="-29525" w:leader="none"/>
          <w:tab w:val="left" w:pos="-2924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</w:t>
      </w:r>
      <w:r>
        <w:rPr>
          <w:rFonts w:eastAsia="Arial CYR" w:cs="Arial CYR"/>
          <w:b/>
          <w:bCs/>
          <w:i/>
          <w:sz w:val="24"/>
          <w:szCs w:val="24"/>
        </w:rPr>
        <w:t xml:space="preserve">-   древесно-кустарниковые насаждения и открытые луговые пространства, водоемы –   </w:t>
      </w:r>
    </w:p>
    <w:p>
      <w:pPr>
        <w:pStyle w:val="Normal"/>
        <w:tabs>
          <w:tab w:val="left" w:pos="-29525" w:leader="none"/>
          <w:tab w:val="left" w:pos="-2924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   </w:t>
      </w:r>
      <w:r>
        <w:rPr>
          <w:rFonts w:eastAsia="Arial CYR" w:cs="Arial CYR"/>
          <w:b/>
          <w:bCs/>
          <w:i/>
          <w:sz w:val="24"/>
          <w:szCs w:val="24"/>
        </w:rPr>
        <w:t>75-80% территории;</w:t>
      </w:r>
    </w:p>
    <w:p>
      <w:pPr>
        <w:pStyle w:val="Normal"/>
        <w:tabs>
          <w:tab w:val="left" w:pos="-29525" w:leader="none"/>
          <w:tab w:val="left" w:pos="-2924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</w:t>
      </w:r>
      <w:r>
        <w:rPr>
          <w:rFonts w:eastAsia="Arial CYR" w:cs="Arial CYR"/>
          <w:b/>
          <w:bCs/>
          <w:i/>
          <w:sz w:val="24"/>
          <w:szCs w:val="24"/>
        </w:rPr>
        <w:t>-  дорожно-транспортная сеть – 5-7%;</w:t>
      </w:r>
    </w:p>
    <w:p>
      <w:pPr>
        <w:pStyle w:val="Normal"/>
        <w:tabs>
          <w:tab w:val="left" w:pos="-29525" w:leader="none"/>
          <w:tab w:val="left" w:pos="-2924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</w:t>
      </w:r>
      <w:r>
        <w:rPr>
          <w:rFonts w:eastAsia="Arial CYR" w:cs="Arial CYR"/>
          <w:b/>
          <w:bCs/>
          <w:i/>
          <w:sz w:val="24"/>
          <w:szCs w:val="24"/>
        </w:rPr>
        <w:t>-  спортивные и игровые площадки 5-10% территории;</w:t>
      </w:r>
    </w:p>
    <w:p>
      <w:pPr>
        <w:pStyle w:val="Normal"/>
        <w:tabs>
          <w:tab w:val="left" w:pos="-29525" w:leader="none"/>
          <w:tab w:val="left" w:pos="-2924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</w:t>
      </w:r>
      <w:r>
        <w:rPr>
          <w:rFonts w:eastAsia="Arial CYR" w:cs="Arial CYR"/>
          <w:b/>
          <w:bCs/>
          <w:i/>
          <w:sz w:val="24"/>
          <w:szCs w:val="24"/>
        </w:rPr>
        <w:t>-  сооружения и постройки – 5-10% территории.</w:t>
      </w:r>
    </w:p>
    <w:p>
      <w:pPr>
        <w:pStyle w:val="Normal"/>
        <w:tabs>
          <w:tab w:val="left" w:pos="17291" w:leader="none"/>
          <w:tab w:val="left" w:pos="17568" w:leader="none"/>
        </w:tabs>
        <w:ind w:left="-284" w:right="-198" w:hanging="0"/>
        <w:jc w:val="both"/>
        <w:rPr>
          <w:rFonts w:eastAsia="Arial CYR" w:cs="Arial CYR"/>
          <w:b/>
          <w:b/>
          <w:bCs/>
          <w:i/>
          <w:i/>
          <w:sz w:val="24"/>
          <w:szCs w:val="24"/>
        </w:rPr>
      </w:pPr>
      <w:r>
        <w:rPr>
          <w:rFonts w:eastAsia="Arial CYR" w:cs="Arial CYR"/>
          <w:b/>
          <w:bCs/>
          <w:i/>
          <w:sz w:val="24"/>
          <w:szCs w:val="24"/>
        </w:rPr>
        <w:t xml:space="preserve">  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ст.43.5 Градостроительные регламенты. Природно-рекреационные зоны. «ПР-2. Зона  рекреационно-ландшафтных территорий»  дополнить  пунктами следующего содержания: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размещение сопутствующих объектов устанавливается в соответствии с проектом планировки;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максимальный процент застройки – 10%»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>Раздел «Разрешенные виды использования» ст.43.6 Градостроительные регламенты. Зоны специального использования. «СН-1. Зона  специального назначения»</w:t>
      </w:r>
      <w:r>
        <w:rPr>
          <w:b/>
          <w:bCs/>
          <w:i/>
          <w:sz w:val="24"/>
          <w:szCs w:val="24"/>
        </w:rPr>
        <w:t xml:space="preserve">  </w:t>
      </w:r>
      <w:r>
        <w:rPr>
          <w:bCs/>
          <w:sz w:val="24"/>
          <w:szCs w:val="24"/>
        </w:rPr>
        <w:t>дополнить пунктом следующего содержания: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«Условно разрешенные виды использования для зоны  СН-1 не устанавливаются.»</w:t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ст.43.6 Градостроительные регламенты. Зоны специального использования. «СН-1. Зона  специального назначения»  дополнить пунктами следующего содержания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  <w:r>
        <w:rPr>
          <w:rFonts w:cs="Arial" w:ascii="Arial" w:hAnsi="Arial"/>
          <w:sz w:val="24"/>
          <w:szCs w:val="24"/>
        </w:rPr>
        <w:br/>
      </w:r>
      <w:r>
        <w:rPr>
          <w:b/>
          <w:i/>
          <w:sz w:val="24"/>
          <w:szCs w:val="24"/>
        </w:rPr>
        <w:t>- вновь создаваемые места погребения должны размещаться на расстоянии не менее:</w:t>
      </w:r>
      <w:r>
        <w:rPr>
          <w:rStyle w:val="Appleconvertedspace"/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br/>
        <w:t>1) от границ селитебной территории не менее 300 м;</w:t>
        <w:br/>
        <w:t>2)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  <w:br/>
        <w:t>3) 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Раздел «Предельные параметры разрешенного использования недвижимости» ст.43.7 Градостроительные регламенты. Зоны сельскохозяйственного  использования. СХ-1. Зона  сельскохозяйственного использования  дополнить пунктом следующего содержания: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«Предельные (минимальные и (или) максимальные) размеры земельных участков, их площади,  устанавливаются законодательством РФ и Ивановской области, а так же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согласно проекту планировки и действующими градостроительными нормативами. а также с нормативами сельскохозяйственного производства»</w:t>
      </w:r>
    </w:p>
    <w:p>
      <w:pPr>
        <w:pStyle w:val="Normal"/>
        <w:jc w:val="both"/>
        <w:rPr/>
      </w:pPr>
      <w:r>
        <w:rPr>
          <w:b/>
          <w:bCs/>
          <w:i/>
          <w:sz w:val="24"/>
          <w:szCs w:val="24"/>
        </w:rPr>
        <w:t xml:space="preserve"> </w:t>
      </w:r>
    </w:p>
    <w:sectPr>
      <w:type w:val="nextPage"/>
      <w:pgSz w:w="11906" w:h="16838"/>
      <w:pgMar w:left="1701" w:right="569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ed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6d4edf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Appleconvertedspace" w:customStyle="1">
    <w:name w:val="apple-converted-space"/>
    <w:basedOn w:val="DefaultParagraphFont"/>
    <w:qFormat/>
    <w:rsid w:val="00934e1c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semiHidden/>
    <w:rsid w:val="006d4edf"/>
    <w:pPr>
      <w:widowControl/>
      <w:suppressAutoHyphens w:val="true"/>
      <w:jc w:val="both"/>
    </w:pPr>
    <w:rPr>
      <w:sz w:val="28"/>
      <w:szCs w:val="28"/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6d4ed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6d4ed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2" w:customStyle="1">
    <w:name w:val="Îñíîâíîé òåêñò 2"/>
    <w:basedOn w:val="Normal"/>
    <w:qFormat/>
    <w:rsid w:val="00934e1c"/>
    <w:pPr>
      <w:suppressAutoHyphens w:val="true"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34e1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34e1c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F339-E02C-43E0-BDEA-7945040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LibreOffice/5.2.2.2$Windows_x86 LibreOffice_project/8f96e87c890bf8fa77463cd4b640a2312823f3ad</Application>
  <Pages>5</Pages>
  <Words>1401</Words>
  <Characters>11045</Characters>
  <CharactersWithSpaces>12495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2015-08-04T10:25:00Z</dcterms:created>
  <dc:creator>Мортки</dc:creator>
  <dc:description/>
  <dc:language>ru-RU</dc:language>
  <cp:lastModifiedBy/>
  <cp:lastPrinted>2017-01-13T05:33:00Z</cp:lastPrinted>
  <dcterms:modified xsi:type="dcterms:W3CDTF">2017-01-16T13:37:08Z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