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AD" w:rsidRDefault="000212B4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Приложение № 1 к постановлению </w:t>
      </w:r>
    </w:p>
    <w:p w:rsidR="00DC4BAD" w:rsidRDefault="000212B4">
      <w:pPr>
        <w:pStyle w:val="ad"/>
        <w:jc w:val="right"/>
      </w:pPr>
      <w:r>
        <w:rPr>
          <w:rFonts w:ascii="Times New Roman" w:hAnsi="Times New Roman"/>
          <w:b w:val="0"/>
          <w:sz w:val="20"/>
        </w:rPr>
        <w:t xml:space="preserve">администрации  </w:t>
      </w:r>
      <w:proofErr w:type="spellStart"/>
      <w:r>
        <w:rPr>
          <w:rFonts w:ascii="Times New Roman" w:hAnsi="Times New Roman"/>
          <w:b w:val="0"/>
          <w:sz w:val="20"/>
        </w:rPr>
        <w:t>Сеготского</w:t>
      </w:r>
      <w:proofErr w:type="spellEnd"/>
    </w:p>
    <w:p w:rsidR="00DC4BAD" w:rsidRDefault="000212B4">
      <w:pPr>
        <w:pStyle w:val="ad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сельского поселения</w:t>
      </w:r>
    </w:p>
    <w:p w:rsidR="00DC4BAD" w:rsidRDefault="000212B4">
      <w:pPr>
        <w:pStyle w:val="ad"/>
        <w:jc w:val="right"/>
      </w:pPr>
      <w:r>
        <w:rPr>
          <w:rFonts w:ascii="Times New Roman" w:hAnsi="Times New Roman"/>
          <w:b w:val="0"/>
          <w:sz w:val="20"/>
        </w:rPr>
        <w:t xml:space="preserve">от  06.12.2021    № 69-п   </w:t>
      </w:r>
    </w:p>
    <w:p w:rsidR="00DC4BAD" w:rsidRDefault="00DC4BAD">
      <w:pPr>
        <w:ind w:firstLine="720"/>
        <w:jc w:val="center"/>
        <w:rPr>
          <w:sz w:val="24"/>
          <w:szCs w:val="24"/>
        </w:rPr>
      </w:pPr>
    </w:p>
    <w:p w:rsidR="00DC4BAD" w:rsidRDefault="000212B4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br/>
        <w:t>мероприятий (дорожная карта), направленных на выявление правообладателей ранее учтенных объектов недвижимости на терри</w:t>
      </w:r>
      <w:r>
        <w:rPr>
          <w:rFonts w:ascii="Times New Roman" w:hAnsi="Times New Roman"/>
          <w:sz w:val="24"/>
          <w:szCs w:val="24"/>
        </w:rPr>
        <w:t xml:space="preserve">тории </w:t>
      </w:r>
      <w:proofErr w:type="spellStart"/>
      <w:r>
        <w:rPr>
          <w:rFonts w:ascii="Times New Roman" w:hAnsi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DC4BAD" w:rsidRDefault="00DC4BAD"/>
    <w:tbl>
      <w:tblPr>
        <w:tblW w:w="1519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9"/>
        <w:gridCol w:w="4668"/>
        <w:gridCol w:w="2842"/>
        <w:gridCol w:w="2694"/>
        <w:gridCol w:w="4426"/>
      </w:tblGrid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Примечания</w:t>
            </w: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комиссии </w:t>
            </w:r>
            <w:r>
              <w:t xml:space="preserve">по осуществлению осмотра здания, сооружения или объекта незавершенного строительства при проведении мероприятий по </w:t>
            </w:r>
            <w:r>
              <w:t>выявлению правообладателей ранее учтенных объектов недвижимости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0"/>
              <w:rPr>
                <w:sz w:val="23"/>
                <w:szCs w:val="23"/>
              </w:rPr>
            </w:pP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0"/>
              <w:rPr>
                <w:sz w:val="23"/>
                <w:szCs w:val="23"/>
              </w:rPr>
            </w:pP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proofErr w:type="gramStart"/>
            <w:r>
              <w:t xml:space="preserve">Проведение разъяснительной работы с населением о необходимости, в целях защиты своих прав и имущественных интересов, осуществления </w:t>
            </w:r>
            <w:r>
              <w:t>государственной регистрации прав на принадлежащие им объекты недвижимости, включение в ЕГРН контактных данных правообладателей, в том числе: для направления органом регистрации прав в их адрес различных уведомлений, в том числе о поступивших заявлениях в о</w:t>
            </w:r>
            <w:r>
              <w:t>тношении принадлежащих им объектов недвижимости, об исправлении реестровой и технических</w:t>
            </w:r>
            <w:proofErr w:type="gramEnd"/>
            <w:r>
              <w:t xml:space="preserve"> ошибок в сведениях ЕГРН, о внесении изменений в сведения ЕГРН об объекте недвижимости на основании документов, поступивших в порядке межведомственного взаимодействия и</w:t>
            </w:r>
            <w:r>
              <w:t xml:space="preserve"> т.д.; </w:t>
            </w:r>
            <w:r>
              <w:lastRenderedPageBreak/>
              <w:t>обеспечения согласования с правообладателями земельных участков местоположение границ смежных земельных участков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1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Постоянно, при проведении мероприятий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0"/>
              <w:rPr>
                <w:sz w:val="23"/>
                <w:szCs w:val="23"/>
              </w:rPr>
            </w:pP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запросов в организации: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Архивы (БТИ + архивный сектор администрации ПМР)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</w:t>
            </w:r>
            <w:r>
              <w:rPr>
                <w:sz w:val="23"/>
                <w:szCs w:val="23"/>
              </w:rPr>
              <w:t>МВД (о регистрации по месту жительства);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ЗАГС;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Пенсионный фонд Российской Федерации (СНИЛС);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Нотариусу (о наследниках);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ФНС (для получения сведений о государственной регистрации в ЕГРЮЛ и ЕРГИП).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 на запрос должен быть дан не позднее 15 дней, если иной срок рассмотрения такого запроса не установлен законодательством Российской Федерации.</w:t>
            </w: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осмотра и подготовка акта осмотра здания, сооружения или объекта незавершенного </w:t>
            </w:r>
            <w:r>
              <w:rPr>
                <w:sz w:val="23"/>
                <w:szCs w:val="23"/>
              </w:rPr>
              <w:t>строительства, подтверждающего, что на момент проведения мероприятий по выявлению правообладателей они не прекратили свое существование (в виде приложения к проекту решения).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</w:pPr>
            <w:r>
              <w:t>Комиссия по осуществлению осмотра здания, сооружения или объекта незавершенного с</w:t>
            </w:r>
            <w:r>
              <w:t>троительства при проведении мероприятий по выявлению правообладателей ранее учтенных объектов недвижимости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</w:pPr>
            <w:r>
              <w:t>в течение 5 рабочих дней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0"/>
              <w:rPr>
                <w:sz w:val="23"/>
                <w:szCs w:val="23"/>
              </w:rPr>
            </w:pP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проекта решения (постановления администрации) о выявлении правообладателя ранее учтенного объекта </w:t>
            </w:r>
            <w:r>
              <w:rPr>
                <w:sz w:val="23"/>
                <w:szCs w:val="23"/>
              </w:rPr>
              <w:t>недвижимости.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5 рабочих дней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решения обязательно должен содержать: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кадастровый номер ранее учтенного объекта недвижимости, содержащийся в ЕГРН, а в случае отсутствия кадастрового номера - вид</w:t>
            </w:r>
            <w:r>
              <w:rPr>
                <w:sz w:val="23"/>
                <w:szCs w:val="23"/>
              </w:rPr>
              <w:t>, назначение, площадь, адрес объекта недвижимости (при отсутствии адреса - его местоположение);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в отношении выявленного правообладателя ранее учтенного объекта </w:t>
            </w:r>
            <w:r>
              <w:rPr>
                <w:sz w:val="23"/>
                <w:szCs w:val="23"/>
              </w:rPr>
              <w:lastRenderedPageBreak/>
              <w:t>недвижимости, являющегося физическим лицом: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(при наличии),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мест</w:t>
            </w:r>
            <w:r>
              <w:rPr>
                <w:sz w:val="23"/>
                <w:szCs w:val="23"/>
              </w:rPr>
              <w:t>о рождения,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реквизиты документов, удостоверяющих личность,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в системе обязательного пенсионного страхования,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регистрации по месту жительства и (или) по месту пребывания;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в отношении выявленного п</w:t>
            </w:r>
            <w:r>
              <w:rPr>
                <w:sz w:val="23"/>
                <w:szCs w:val="23"/>
              </w:rPr>
              <w:t>равообладателя ранее учтенного объекта недвижимости, являющегося юридическим лицом: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 юридического лица, идентификационный номер налогоплательщика,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государственный регистрационный номер;</w:t>
            </w:r>
          </w:p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наименование и реквизиты документа, под</w:t>
            </w:r>
            <w:r>
              <w:rPr>
                <w:sz w:val="23"/>
                <w:szCs w:val="23"/>
              </w:rPr>
              <w:t>тверждающего, что выявленное лицо является правообладателем ранее учтенного объекта недвижимости</w:t>
            </w: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</w:pPr>
            <w:r>
              <w:rPr>
                <w:sz w:val="23"/>
                <w:szCs w:val="23"/>
              </w:rPr>
              <w:t xml:space="preserve">Размещение в информационно-телекоммуникационной сети "Интернет" на </w:t>
            </w:r>
            <w:hyperlink r:id="rId5">
              <w:r>
                <w:rPr>
                  <w:rStyle w:val="a5"/>
                  <w:b w:val="0"/>
                  <w:color w:val="00000A"/>
                  <w:sz w:val="23"/>
                  <w:szCs w:val="23"/>
                </w:rPr>
                <w:t xml:space="preserve">официальном </w:t>
              </w:r>
              <w:proofErr w:type="spellStart"/>
              <w:r>
                <w:rPr>
                  <w:rStyle w:val="a5"/>
                  <w:b w:val="0"/>
                  <w:color w:val="00000A"/>
                  <w:sz w:val="23"/>
                  <w:szCs w:val="23"/>
                </w:rPr>
                <w:t>сайте</w:t>
              </w:r>
            </w:hyperlink>
            <w:r>
              <w:rPr>
                <w:sz w:val="23"/>
                <w:szCs w:val="23"/>
              </w:rPr>
              <w:t>администрации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  </w:t>
            </w:r>
            <w:proofErr w:type="spellStart"/>
            <w:r>
              <w:rPr>
                <w:sz w:val="23"/>
                <w:szCs w:val="23"/>
              </w:rPr>
              <w:t>Пучежского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района, сведений об объекте недвижимости и сроки в течение которых, могут быть представлены возражения относительно сведений о правообладателе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</w:t>
            </w:r>
            <w:r>
              <w:rPr>
                <w:sz w:val="23"/>
                <w:szCs w:val="23"/>
              </w:rPr>
              <w:t>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рабочих дней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в 45 </w:t>
            </w:r>
            <w:proofErr w:type="spellStart"/>
            <w:r>
              <w:rPr>
                <w:sz w:val="23"/>
                <w:szCs w:val="23"/>
              </w:rPr>
              <w:t>дневный</w:t>
            </w:r>
            <w:proofErr w:type="spellEnd"/>
            <w:r>
              <w:rPr>
                <w:sz w:val="23"/>
                <w:szCs w:val="23"/>
              </w:rPr>
              <w:t xml:space="preserve"> срок поступили возражения, решение о выявлении правообладателя ранее учтенного объекта недвижимости не принимается.</w:t>
            </w:r>
          </w:p>
          <w:p w:rsidR="00DC4BAD" w:rsidRDefault="000212B4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орган может обратиться в суд, который вправе вынести решение о внесении в ЕГРН </w:t>
            </w:r>
            <w:r>
              <w:rPr>
                <w:sz w:val="23"/>
                <w:szCs w:val="23"/>
              </w:rPr>
              <w:t>Записи о правообладателе ранее учтенного объекта недвижимости, в течение одного года, со дня поступления указанных возражений.</w:t>
            </w: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проекта решения  лицу, выявленному в качестве правообладателя ранее учтенного объекта недвижимости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рабочих дней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Заказным письмом с уведомлением о вручении, проект решения лицу, либо вручить лично под роспись</w:t>
            </w: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решения о выявлении правообладателя ранее учтенного объекта недвижимости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случае</w:t>
            </w:r>
            <w:proofErr w:type="gramStart"/>
            <w:r>
              <w:rPr>
                <w:sz w:val="23"/>
                <w:szCs w:val="23"/>
              </w:rPr>
              <w:t>,</w:t>
            </w:r>
            <w:proofErr w:type="gramEnd"/>
            <w:r>
              <w:rPr>
                <w:sz w:val="23"/>
                <w:szCs w:val="23"/>
              </w:rPr>
              <w:t xml:space="preserve"> если в  течение 45 дней со дня получения  проекта решения лицом, выявленным в качестве правообладателя ранее учтенного объекта недвижимости не поступили возражения, относительно сведений о правообладателе ранее учтенного </w:t>
            </w:r>
            <w:r>
              <w:rPr>
                <w:sz w:val="23"/>
                <w:szCs w:val="23"/>
              </w:rPr>
              <w:t>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</w:t>
            </w: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в </w:t>
            </w:r>
            <w:proofErr w:type="spellStart"/>
            <w:r>
              <w:rPr>
                <w:sz w:val="23"/>
                <w:szCs w:val="23"/>
              </w:rPr>
              <w:t>Росреестр</w:t>
            </w:r>
            <w:proofErr w:type="spellEnd"/>
            <w:r>
              <w:rPr>
                <w:sz w:val="23"/>
                <w:szCs w:val="23"/>
              </w:rPr>
              <w:t xml:space="preserve"> заявления о внесении в ЕГРН сведений о правообладателе ранее учтенного объ</w:t>
            </w:r>
            <w:r>
              <w:rPr>
                <w:sz w:val="23"/>
                <w:szCs w:val="23"/>
              </w:rPr>
              <w:t>екта недвижимости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5 рабочих дней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0"/>
              <w:rPr>
                <w:sz w:val="23"/>
                <w:szCs w:val="23"/>
              </w:rPr>
            </w:pP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Выписки из ЕГРН правообладателю ранее учтенного земельного участка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 дней со дня получения </w:t>
            </w:r>
            <w:r>
              <w:rPr>
                <w:sz w:val="23"/>
                <w:szCs w:val="23"/>
              </w:rPr>
              <w:t>выписки из ЕГРН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0"/>
              <w:rPr>
                <w:sz w:val="23"/>
                <w:szCs w:val="23"/>
              </w:rPr>
            </w:pPr>
          </w:p>
        </w:tc>
      </w:tr>
      <w:tr w:rsidR="00DC4BA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отчета о выявленных </w:t>
            </w:r>
            <w:proofErr w:type="gramStart"/>
            <w:r>
              <w:rPr>
                <w:sz w:val="23"/>
                <w:szCs w:val="23"/>
              </w:rPr>
              <w:t>случаях</w:t>
            </w:r>
            <w:proofErr w:type="gramEnd"/>
            <w:r>
              <w:rPr>
                <w:sz w:val="23"/>
                <w:szCs w:val="23"/>
              </w:rPr>
              <w:t xml:space="preserve"> о правообладателе ранее учтенного объекта недвижимости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center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Сеготского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DC4BAD">
            <w:pPr>
              <w:pStyle w:val="af0"/>
              <w:rPr>
                <w:sz w:val="23"/>
                <w:szCs w:val="23"/>
              </w:rPr>
            </w:pPr>
          </w:p>
        </w:tc>
      </w:tr>
    </w:tbl>
    <w:p w:rsidR="00DC4BAD" w:rsidRDefault="00DC4BAD"/>
    <w:p w:rsidR="00DC4BAD" w:rsidRDefault="00DC4BAD"/>
    <w:p w:rsidR="00DC4BAD" w:rsidRDefault="00DC4BAD">
      <w:pPr>
        <w:pStyle w:val="ad"/>
        <w:jc w:val="right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left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left"/>
        <w:outlineLvl w:val="0"/>
        <w:rPr>
          <w:rFonts w:ascii="Times New Roman" w:hAnsi="Times New Roman"/>
          <w:b w:val="0"/>
          <w:sz w:val="20"/>
        </w:rPr>
        <w:sectPr w:rsidR="00DC4BAD">
          <w:pgSz w:w="16838" w:h="11906" w:orient="landscape"/>
          <w:pgMar w:top="1418" w:right="567" w:bottom="567" w:left="567" w:header="0" w:footer="0" w:gutter="0"/>
          <w:cols w:space="720"/>
          <w:formProt w:val="0"/>
          <w:docGrid w:linePitch="240" w:charSpace="2047"/>
        </w:sectPr>
      </w:pPr>
    </w:p>
    <w:p w:rsidR="00DC4BAD" w:rsidRDefault="00DC4BAD">
      <w:pPr>
        <w:pStyle w:val="ad"/>
        <w:jc w:val="lef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0212B4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Приложение № 2 к постановлению </w:t>
      </w:r>
    </w:p>
    <w:p w:rsidR="00DC4BAD" w:rsidRDefault="000212B4">
      <w:pPr>
        <w:pStyle w:val="ad"/>
        <w:jc w:val="right"/>
      </w:pPr>
      <w:r>
        <w:rPr>
          <w:rFonts w:ascii="Times New Roman" w:hAnsi="Times New Roman"/>
          <w:b w:val="0"/>
          <w:sz w:val="20"/>
        </w:rPr>
        <w:t xml:space="preserve">администрации  </w:t>
      </w:r>
      <w:proofErr w:type="spellStart"/>
      <w:r>
        <w:rPr>
          <w:rFonts w:ascii="Times New Roman" w:hAnsi="Times New Roman"/>
          <w:b w:val="0"/>
          <w:sz w:val="20"/>
        </w:rPr>
        <w:t>Сеготского</w:t>
      </w:r>
      <w:proofErr w:type="spellEnd"/>
    </w:p>
    <w:p w:rsidR="00DC4BAD" w:rsidRDefault="000212B4">
      <w:pPr>
        <w:pStyle w:val="ad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сельского поселения</w:t>
      </w:r>
    </w:p>
    <w:p w:rsidR="00DC4BAD" w:rsidRDefault="000212B4">
      <w:pPr>
        <w:pStyle w:val="ad"/>
        <w:jc w:val="right"/>
      </w:pPr>
      <w:r>
        <w:rPr>
          <w:rFonts w:ascii="Times New Roman" w:hAnsi="Times New Roman"/>
          <w:b w:val="0"/>
          <w:sz w:val="20"/>
        </w:rPr>
        <w:t>от   06.12.2021  №  69-п</w:t>
      </w:r>
    </w:p>
    <w:p w:rsidR="00DC4BAD" w:rsidRDefault="00DC4BAD">
      <w:pPr>
        <w:ind w:firstLine="720"/>
        <w:jc w:val="center"/>
        <w:rPr>
          <w:sz w:val="28"/>
          <w:szCs w:val="28"/>
        </w:rPr>
      </w:pPr>
    </w:p>
    <w:p w:rsidR="00DC4BAD" w:rsidRDefault="00DC4BAD">
      <w:pPr>
        <w:jc w:val="both"/>
        <w:rPr>
          <w:sz w:val="28"/>
          <w:szCs w:val="28"/>
        </w:rPr>
      </w:pPr>
    </w:p>
    <w:p w:rsidR="00DC4BAD" w:rsidRDefault="000212B4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br/>
        <w:t>комиссии по осуществлению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</w:t>
      </w:r>
      <w:r>
        <w:rPr>
          <w:rFonts w:ascii="Times New Roman" w:hAnsi="Times New Roman"/>
          <w:sz w:val="24"/>
          <w:szCs w:val="24"/>
        </w:rPr>
        <w:t xml:space="preserve">едвижимости </w:t>
      </w:r>
    </w:p>
    <w:p w:rsidR="00DC4BAD" w:rsidRDefault="00DC4BAD"/>
    <w:tbl>
      <w:tblPr>
        <w:tblW w:w="928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368"/>
        <w:gridCol w:w="5919"/>
      </w:tblGrid>
      <w:tr w:rsidR="00DC4BAD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</w:pPr>
            <w:proofErr w:type="spellStart"/>
            <w:r>
              <w:t>Смольницкий</w:t>
            </w:r>
            <w:proofErr w:type="spellEnd"/>
            <w:r>
              <w:t xml:space="preserve"> Д.В.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both"/>
            </w:pPr>
            <w:r>
              <w:rPr>
                <w:sz w:val="24"/>
                <w:szCs w:val="24"/>
              </w:rPr>
              <w:t xml:space="preserve">-Глава </w:t>
            </w:r>
            <w:proofErr w:type="spellStart"/>
            <w:r>
              <w:rPr>
                <w:sz w:val="24"/>
                <w:szCs w:val="24"/>
              </w:rPr>
              <w:t>Сеготского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поселения;</w:t>
            </w:r>
          </w:p>
          <w:p w:rsidR="00DC4BAD" w:rsidRDefault="000212B4">
            <w:pPr>
              <w:jc w:val="both"/>
            </w:pPr>
            <w:r>
              <w:rPr>
                <w:b/>
                <w:i/>
                <w:sz w:val="24"/>
                <w:szCs w:val="24"/>
              </w:rPr>
              <w:t>председатель комиссии;</w:t>
            </w:r>
          </w:p>
          <w:p w:rsidR="00DC4BAD" w:rsidRDefault="00DC4BAD"/>
        </w:tc>
      </w:tr>
      <w:tr w:rsidR="00DC4BAD"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DC4BAD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pStyle w:val="af0"/>
              <w:jc w:val="left"/>
            </w:pPr>
            <w:proofErr w:type="spellStart"/>
            <w:r>
              <w:t>Кострова</w:t>
            </w:r>
            <w:proofErr w:type="spellEnd"/>
            <w:r>
              <w:t xml:space="preserve"> О.А.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r>
              <w:rPr>
                <w:sz w:val="24"/>
                <w:szCs w:val="24"/>
              </w:rPr>
              <w:t xml:space="preserve">-экономист администрации </w:t>
            </w:r>
            <w:proofErr w:type="spellStart"/>
            <w:r>
              <w:rPr>
                <w:sz w:val="24"/>
                <w:szCs w:val="24"/>
              </w:rPr>
              <w:t>Сеготского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C4BAD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both"/>
            </w:pPr>
            <w:r>
              <w:rPr>
                <w:sz w:val="24"/>
                <w:szCs w:val="24"/>
              </w:rPr>
              <w:t>Кузнецова  Ж.А.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both"/>
            </w:pPr>
            <w:r>
              <w:rPr>
                <w:sz w:val="24"/>
                <w:szCs w:val="24"/>
              </w:rPr>
              <w:t>- старший инспекто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 xml:space="preserve">землеустроитель) администрации </w:t>
            </w:r>
            <w:proofErr w:type="spellStart"/>
            <w:r>
              <w:rPr>
                <w:sz w:val="24"/>
                <w:szCs w:val="24"/>
              </w:rPr>
              <w:t>Сеготского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C4BAD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both"/>
            </w:pPr>
            <w:proofErr w:type="spellStart"/>
            <w:r>
              <w:rPr>
                <w:sz w:val="24"/>
                <w:szCs w:val="24"/>
              </w:rPr>
              <w:t>Стрежнева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BAD" w:rsidRDefault="000212B4">
            <w:pPr>
              <w:jc w:val="both"/>
            </w:pPr>
            <w:r>
              <w:rPr>
                <w:sz w:val="24"/>
                <w:szCs w:val="24"/>
              </w:rPr>
              <w:t xml:space="preserve">-главный специалист администрации </w:t>
            </w:r>
            <w:proofErr w:type="spellStart"/>
            <w:r>
              <w:rPr>
                <w:sz w:val="24"/>
                <w:szCs w:val="24"/>
              </w:rPr>
              <w:t>Сеготского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C4BAD" w:rsidRDefault="00DC4BAD"/>
    <w:p w:rsidR="00DC4BAD" w:rsidRDefault="00DC4BAD">
      <w:pPr>
        <w:ind w:firstLine="720"/>
        <w:jc w:val="right"/>
        <w:rPr>
          <w:sz w:val="28"/>
          <w:szCs w:val="28"/>
        </w:rPr>
      </w:pPr>
    </w:p>
    <w:p w:rsidR="00DC4BAD" w:rsidRDefault="00DC4BAD">
      <w:pPr>
        <w:ind w:firstLine="720"/>
        <w:jc w:val="right"/>
        <w:rPr>
          <w:sz w:val="28"/>
          <w:szCs w:val="28"/>
        </w:rPr>
      </w:pPr>
    </w:p>
    <w:p w:rsidR="00DC4BAD" w:rsidRDefault="00DC4BAD">
      <w:pPr>
        <w:ind w:firstLine="720"/>
        <w:jc w:val="right"/>
        <w:rPr>
          <w:sz w:val="28"/>
          <w:szCs w:val="28"/>
        </w:rPr>
      </w:pPr>
    </w:p>
    <w:p w:rsidR="00DC4BAD" w:rsidRDefault="00DC4BAD">
      <w:pPr>
        <w:rPr>
          <w:sz w:val="28"/>
          <w:szCs w:val="28"/>
        </w:rPr>
      </w:pPr>
    </w:p>
    <w:p w:rsidR="00DC4BAD" w:rsidRDefault="00DC4BAD">
      <w:pPr>
        <w:pStyle w:val="ad"/>
        <w:jc w:val="lef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DC4BAD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</w:p>
    <w:p w:rsidR="00DC4BAD" w:rsidRDefault="000212B4">
      <w:pPr>
        <w:pStyle w:val="ad"/>
        <w:jc w:val="right"/>
        <w:outlineLvl w:val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Приложение № 3 к постановлению </w:t>
      </w:r>
    </w:p>
    <w:p w:rsidR="00DC4BAD" w:rsidRDefault="000212B4">
      <w:pPr>
        <w:pStyle w:val="ad"/>
        <w:jc w:val="right"/>
      </w:pPr>
      <w:r>
        <w:rPr>
          <w:rFonts w:ascii="Times New Roman" w:hAnsi="Times New Roman"/>
          <w:b w:val="0"/>
          <w:sz w:val="20"/>
        </w:rPr>
        <w:lastRenderedPageBreak/>
        <w:t xml:space="preserve">администрации  </w:t>
      </w:r>
      <w:proofErr w:type="spellStart"/>
      <w:r>
        <w:rPr>
          <w:rFonts w:ascii="Times New Roman" w:hAnsi="Times New Roman"/>
          <w:b w:val="0"/>
          <w:sz w:val="20"/>
        </w:rPr>
        <w:t>Сеготского</w:t>
      </w:r>
      <w:proofErr w:type="spellEnd"/>
    </w:p>
    <w:p w:rsidR="00DC4BAD" w:rsidRDefault="000212B4">
      <w:pPr>
        <w:pStyle w:val="ad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сельского поселения</w:t>
      </w:r>
    </w:p>
    <w:p w:rsidR="00DC4BAD" w:rsidRDefault="000212B4">
      <w:pPr>
        <w:pStyle w:val="ad"/>
        <w:jc w:val="right"/>
      </w:pPr>
      <w:r>
        <w:rPr>
          <w:rFonts w:ascii="Times New Roman" w:hAnsi="Times New Roman"/>
          <w:b w:val="0"/>
          <w:sz w:val="20"/>
        </w:rPr>
        <w:t>от   06.12.2021  №  69-п</w:t>
      </w:r>
    </w:p>
    <w:p w:rsidR="00DC4BAD" w:rsidRDefault="00DC4BAD">
      <w:pPr>
        <w:pStyle w:val="Heading1"/>
        <w:rPr>
          <w:rFonts w:ascii="Times New Roman" w:hAnsi="Times New Roman"/>
          <w:sz w:val="24"/>
          <w:szCs w:val="24"/>
        </w:rPr>
      </w:pPr>
    </w:p>
    <w:p w:rsidR="00DC4BAD" w:rsidRDefault="000212B4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br/>
        <w:t>о комиссии по осуществлению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DC4BAD" w:rsidRDefault="00DC4BAD">
      <w:pPr>
        <w:rPr>
          <w:sz w:val="24"/>
          <w:szCs w:val="24"/>
        </w:rPr>
      </w:pPr>
    </w:p>
    <w:p w:rsidR="00DC4BAD" w:rsidRDefault="000212B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C4BAD" w:rsidRDefault="00DC4BAD">
      <w:pPr>
        <w:ind w:firstLine="720"/>
        <w:jc w:val="center"/>
        <w:rPr>
          <w:b/>
          <w:sz w:val="24"/>
          <w:szCs w:val="24"/>
        </w:rPr>
      </w:pPr>
    </w:p>
    <w:p w:rsidR="00DC4BAD" w:rsidRDefault="000212B4">
      <w:pPr>
        <w:ind w:firstLine="720"/>
        <w:jc w:val="both"/>
      </w:pPr>
      <w:bookmarkStart w:id="0" w:name="sub_8"/>
      <w:r>
        <w:rPr>
          <w:sz w:val="24"/>
          <w:szCs w:val="24"/>
        </w:rPr>
        <w:t xml:space="preserve">1.1. </w:t>
      </w:r>
      <w:bookmarkEnd w:id="0"/>
      <w:r>
        <w:rPr>
          <w:sz w:val="24"/>
          <w:szCs w:val="24"/>
        </w:rPr>
        <w:t xml:space="preserve"> Комиссия по осуществлению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(далее - комиссия) является постоянно действующим коллегиальным орг</w:t>
      </w:r>
      <w:r>
        <w:rPr>
          <w:sz w:val="24"/>
          <w:szCs w:val="24"/>
        </w:rPr>
        <w:t xml:space="preserve">аном при администрации </w:t>
      </w:r>
      <w:bookmarkStart w:id="1" w:name="__DdeLink__12139_847602638"/>
      <w:proofErr w:type="spellStart"/>
      <w:r>
        <w:rPr>
          <w:sz w:val="24"/>
          <w:szCs w:val="24"/>
        </w:rPr>
        <w:t>Сеготского</w:t>
      </w:r>
      <w:bookmarkEnd w:id="1"/>
      <w:proofErr w:type="spellEnd"/>
      <w:r>
        <w:rPr>
          <w:sz w:val="24"/>
          <w:szCs w:val="24"/>
        </w:rPr>
        <w:t xml:space="preserve"> сельского поселения.</w:t>
      </w:r>
    </w:p>
    <w:p w:rsidR="00DC4BAD" w:rsidRDefault="000212B4">
      <w:pPr>
        <w:ind w:firstLine="720"/>
        <w:jc w:val="both"/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</w:t>
      </w:r>
      <w:r>
        <w:rPr>
          <w:sz w:val="24"/>
          <w:szCs w:val="24"/>
        </w:rPr>
        <w:t xml:space="preserve"> земли зданий, сооружений, объектов незавершенного строительства, при выявлении правообладателей ранее учтенных объектов недвижимости с целью подтверждения, что на момент проведения мероприятий по выявлению правообладателей таких объектов недвижимости эти </w:t>
      </w:r>
      <w:r>
        <w:rPr>
          <w:sz w:val="24"/>
          <w:szCs w:val="24"/>
        </w:rPr>
        <w:t>объекты не прекратили свое существование.</w:t>
      </w:r>
      <w:proofErr w:type="gramEnd"/>
    </w:p>
    <w:p w:rsidR="00DC4BAD" w:rsidRDefault="000212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Комиссия осуществляет свою деятельность на основе равноправия ее членов, коллективного и свободного обсуждения вопросов на принципах законности и гласности.</w:t>
      </w:r>
    </w:p>
    <w:p w:rsidR="00DC4BAD" w:rsidRDefault="00DC4BAD">
      <w:pPr>
        <w:ind w:firstLine="720"/>
        <w:jc w:val="both"/>
        <w:rPr>
          <w:sz w:val="24"/>
          <w:szCs w:val="24"/>
        </w:rPr>
      </w:pPr>
    </w:p>
    <w:p w:rsidR="00DC4BAD" w:rsidRDefault="000212B4">
      <w:pPr>
        <w:pStyle w:val="Heading1"/>
        <w:rPr>
          <w:rFonts w:ascii="Times New Roman" w:hAnsi="Times New Roman"/>
          <w:sz w:val="24"/>
          <w:szCs w:val="24"/>
        </w:rPr>
      </w:pPr>
      <w:bookmarkStart w:id="2" w:name="sub_2012"/>
      <w:bookmarkStart w:id="3" w:name="sub_2002"/>
      <w:bookmarkEnd w:id="2"/>
      <w:bookmarkEnd w:id="3"/>
      <w:r>
        <w:rPr>
          <w:rFonts w:ascii="Times New Roman" w:hAnsi="Times New Roman"/>
          <w:sz w:val="24"/>
          <w:szCs w:val="24"/>
        </w:rPr>
        <w:t>2. Функции комиссии</w:t>
      </w:r>
    </w:p>
    <w:p w:rsidR="00DC4BAD" w:rsidRDefault="00DC4BAD">
      <w:pPr>
        <w:rPr>
          <w:sz w:val="24"/>
          <w:szCs w:val="24"/>
        </w:rPr>
      </w:pPr>
    </w:p>
    <w:p w:rsidR="00DC4BAD" w:rsidRDefault="000212B4">
      <w:pPr>
        <w:jc w:val="both"/>
        <w:rPr>
          <w:sz w:val="24"/>
          <w:szCs w:val="24"/>
        </w:rPr>
      </w:pPr>
      <w:r>
        <w:rPr>
          <w:sz w:val="24"/>
          <w:szCs w:val="24"/>
        </w:rPr>
        <w:t>Функциями комиссии являются:</w:t>
      </w:r>
    </w:p>
    <w:p w:rsidR="00DC4BAD" w:rsidRDefault="000212B4">
      <w:pPr>
        <w:ind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проведение визуального осмотра либо осмотра с использованием технических средств для дистанционного зондирования земли зданий, сооружений, объектов незавершенного </w:t>
      </w:r>
      <w:proofErr w:type="gramStart"/>
      <w:r>
        <w:rPr>
          <w:sz w:val="24"/>
          <w:szCs w:val="24"/>
        </w:rPr>
        <w:t>строительства</w:t>
      </w:r>
      <w:proofErr w:type="gramEnd"/>
      <w:r>
        <w:rPr>
          <w:sz w:val="24"/>
          <w:szCs w:val="24"/>
        </w:rPr>
        <w:t xml:space="preserve"> при выявлении правообладателей ранее учтенных объектов недвижимости с применен</w:t>
      </w:r>
      <w:r>
        <w:rPr>
          <w:sz w:val="24"/>
          <w:szCs w:val="24"/>
        </w:rPr>
        <w:t xml:space="preserve">ием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>.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осмотра осуществляется </w:t>
      </w:r>
      <w:proofErr w:type="spellStart"/>
      <w:r>
        <w:rPr>
          <w:sz w:val="24"/>
          <w:szCs w:val="24"/>
        </w:rPr>
        <w:t>фотофиксация</w:t>
      </w:r>
      <w:proofErr w:type="spellEnd"/>
      <w:r>
        <w:rPr>
          <w:sz w:val="24"/>
          <w:szCs w:val="24"/>
        </w:rPr>
        <w:t xml:space="preserve"> объект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недвижимости с указанием места и даты съемки. 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прилагаются к акту осмотра здания, сооружения, объекта незавершенного строительства при выявлении право</w:t>
      </w:r>
      <w:r>
        <w:rPr>
          <w:sz w:val="24"/>
          <w:szCs w:val="24"/>
        </w:rPr>
        <w:t>обладателей ранее учтенных объектов недвижимости (далее - Акт осмотра);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Актов осмотра.</w:t>
      </w:r>
    </w:p>
    <w:p w:rsidR="00DC4BAD" w:rsidRDefault="00DC4BAD">
      <w:pPr>
        <w:rPr>
          <w:sz w:val="24"/>
          <w:szCs w:val="24"/>
        </w:rPr>
      </w:pPr>
    </w:p>
    <w:p w:rsidR="00DC4BAD" w:rsidRDefault="000212B4">
      <w:pPr>
        <w:pStyle w:val="Heading1"/>
        <w:rPr>
          <w:rFonts w:ascii="Times New Roman" w:hAnsi="Times New Roman"/>
          <w:sz w:val="24"/>
          <w:szCs w:val="24"/>
        </w:rPr>
      </w:pPr>
      <w:bookmarkStart w:id="4" w:name="sub_2003"/>
      <w:bookmarkEnd w:id="4"/>
      <w:r>
        <w:rPr>
          <w:rFonts w:ascii="Times New Roman" w:hAnsi="Times New Roman"/>
          <w:sz w:val="24"/>
          <w:szCs w:val="24"/>
        </w:rPr>
        <w:t>3. Состав и порядок работы комиссии</w:t>
      </w:r>
    </w:p>
    <w:p w:rsidR="00DC4BAD" w:rsidRDefault="00DC4BAD">
      <w:pPr>
        <w:rPr>
          <w:sz w:val="24"/>
          <w:szCs w:val="24"/>
        </w:rPr>
      </w:pPr>
    </w:p>
    <w:p w:rsidR="00DC4BAD" w:rsidRDefault="000212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Комиссия формируется в составе председателя и членов комиссии.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bookmarkStart w:id="5" w:name="sub_2031"/>
      <w:bookmarkEnd w:id="5"/>
      <w:r>
        <w:rPr>
          <w:sz w:val="24"/>
          <w:szCs w:val="24"/>
        </w:rPr>
        <w:t>3.2. Персональный состав комиссии с одновременным</w:t>
      </w:r>
      <w:r>
        <w:rPr>
          <w:sz w:val="24"/>
          <w:szCs w:val="24"/>
        </w:rPr>
        <w:t xml:space="preserve"> назначением ее председателя и Положение о комиссии утверждаются постановлением администрации.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bookmarkStart w:id="6" w:name="sub_2032"/>
      <w:bookmarkEnd w:id="6"/>
      <w:r>
        <w:rPr>
          <w:sz w:val="24"/>
          <w:szCs w:val="24"/>
        </w:rPr>
        <w:t>3.3. Комиссия осуществляет свою деятельность путем выезда на место нахождения зданий, сооружений, объектов незавершенного строительства.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bookmarkStart w:id="7" w:name="sub_2033"/>
      <w:bookmarkEnd w:id="7"/>
      <w:r>
        <w:rPr>
          <w:sz w:val="24"/>
          <w:szCs w:val="24"/>
        </w:rPr>
        <w:t>3.4. Возглавляет комисси</w:t>
      </w:r>
      <w:r>
        <w:rPr>
          <w:sz w:val="24"/>
          <w:szCs w:val="24"/>
        </w:rPr>
        <w:t>ю и осуществляет руководство ее работой председатель комиссии.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bookmarkStart w:id="8" w:name="sub_2034"/>
      <w:bookmarkEnd w:id="8"/>
      <w:r>
        <w:rPr>
          <w:sz w:val="24"/>
          <w:szCs w:val="24"/>
        </w:rPr>
        <w:t>3.5. В период отсутствия председателя комиссии осуществляет руководство деятельностью комиссии назначаемый председателем член комиссии.</w:t>
      </w:r>
    </w:p>
    <w:p w:rsidR="00DC4BAD" w:rsidRDefault="000212B4">
      <w:pPr>
        <w:ind w:firstLine="720"/>
        <w:jc w:val="both"/>
      </w:pPr>
      <w:bookmarkStart w:id="9" w:name="sub_2035"/>
      <w:bookmarkEnd w:id="9"/>
      <w:r>
        <w:rPr>
          <w:sz w:val="24"/>
          <w:szCs w:val="24"/>
        </w:rPr>
        <w:t xml:space="preserve">3.6. </w:t>
      </w:r>
      <w:proofErr w:type="gramStart"/>
      <w:r>
        <w:rPr>
          <w:sz w:val="24"/>
          <w:szCs w:val="24"/>
        </w:rPr>
        <w:t>В результате осмотра зданий, сооружений, объектов не</w:t>
      </w:r>
      <w:r>
        <w:rPr>
          <w:sz w:val="24"/>
          <w:szCs w:val="24"/>
        </w:rPr>
        <w:t xml:space="preserve">завершенного строительства оформляется Акт осмотра по форме, предусмотренной </w:t>
      </w:r>
      <w:proofErr w:type="spellStart"/>
      <w:r>
        <w:rPr>
          <w:b/>
          <w:sz w:val="24"/>
          <w:szCs w:val="24"/>
        </w:rPr>
        <w:t>в</w:t>
      </w:r>
      <w:hyperlink r:id="rId6">
        <w:r>
          <w:rPr>
            <w:rStyle w:val="a5"/>
            <w:b w:val="0"/>
            <w:color w:val="00000A"/>
            <w:sz w:val="24"/>
            <w:szCs w:val="24"/>
          </w:rPr>
          <w:t>приложении</w:t>
        </w:r>
        <w:proofErr w:type="spellEnd"/>
        <w:r>
          <w:rPr>
            <w:rStyle w:val="a5"/>
            <w:b w:val="0"/>
            <w:color w:val="00000A"/>
            <w:sz w:val="24"/>
            <w:szCs w:val="24"/>
          </w:rPr>
          <w:t xml:space="preserve"> N 2</w:t>
        </w:r>
      </w:hyperlink>
      <w:bookmarkStart w:id="10" w:name="sub_2036"/>
      <w:bookmarkEnd w:id="10"/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от 28 апреля 2021года NП/0179 "Об установлении порядка проведения о</w:t>
      </w:r>
      <w:r>
        <w:rPr>
          <w:sz w:val="24"/>
          <w:szCs w:val="24"/>
        </w:rPr>
        <w:t xml:space="preserve">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актов осмотра здания, сооружения или объекта незавершенного строительства при выявлении </w:t>
      </w:r>
      <w:r>
        <w:rPr>
          <w:sz w:val="24"/>
          <w:szCs w:val="24"/>
        </w:rPr>
        <w:t>правообладателей</w:t>
      </w:r>
      <w:proofErr w:type="gramEnd"/>
      <w:r>
        <w:rPr>
          <w:sz w:val="24"/>
          <w:szCs w:val="24"/>
        </w:rPr>
        <w:t xml:space="preserve"> ранее учтенных объектов недвижимости".</w:t>
      </w:r>
    </w:p>
    <w:p w:rsidR="00DC4BAD" w:rsidRDefault="000212B4">
      <w:pPr>
        <w:ind w:firstLine="720"/>
        <w:jc w:val="both"/>
      </w:pPr>
      <w:proofErr w:type="gramStart"/>
      <w:r>
        <w:rPr>
          <w:sz w:val="24"/>
          <w:szCs w:val="24"/>
        </w:rPr>
        <w:lastRenderedPageBreak/>
        <w:t xml:space="preserve">При составлении Акта осмотра в форме электронного документа в соответствии с установленными на </w:t>
      </w:r>
      <w:proofErr w:type="spellStart"/>
      <w:r>
        <w:rPr>
          <w:sz w:val="24"/>
          <w:szCs w:val="24"/>
        </w:rPr>
        <w:t>основании</w:t>
      </w:r>
      <w:hyperlink r:id="rId7">
        <w:r>
          <w:rPr>
            <w:rStyle w:val="a5"/>
            <w:b w:val="0"/>
            <w:color w:val="00000A"/>
            <w:sz w:val="24"/>
            <w:szCs w:val="24"/>
          </w:rPr>
          <w:t>пункта</w:t>
        </w:r>
        <w:proofErr w:type="spellEnd"/>
        <w:r>
          <w:rPr>
            <w:rStyle w:val="a5"/>
            <w:b w:val="0"/>
            <w:color w:val="00000A"/>
            <w:sz w:val="24"/>
            <w:szCs w:val="24"/>
          </w:rPr>
          <w:t xml:space="preserve"> 2 части 1</w:t>
        </w:r>
      </w:hyperlink>
      <w:r>
        <w:rPr>
          <w:b/>
          <w:sz w:val="24"/>
          <w:szCs w:val="24"/>
        </w:rPr>
        <w:t xml:space="preserve">, </w:t>
      </w:r>
      <w:hyperlink r:id="rId8">
        <w:r>
          <w:rPr>
            <w:rStyle w:val="a5"/>
            <w:b w:val="0"/>
            <w:color w:val="00000A"/>
            <w:sz w:val="24"/>
            <w:szCs w:val="24"/>
          </w:rPr>
          <w:t>части 11 статьи 18</w:t>
        </w:r>
      </w:hyperlink>
      <w:r>
        <w:rPr>
          <w:sz w:val="24"/>
          <w:szCs w:val="24"/>
        </w:rPr>
        <w:t>Федерального закона от 13 июля 2015года N218-ФЗ "О государственной регистрации недвижимости" требованиями к формату заявления о государственном кадастровом учете нед</w:t>
      </w:r>
      <w:r>
        <w:rPr>
          <w:sz w:val="24"/>
          <w:szCs w:val="24"/>
        </w:rPr>
        <w:t>вижимого имущества и (или) государственной регистрации прав на недвижимое имущество и представляемых с ним документов в электронной форме либо</w:t>
      </w:r>
      <w:proofErr w:type="gramEnd"/>
      <w:r>
        <w:rPr>
          <w:sz w:val="24"/>
          <w:szCs w:val="24"/>
        </w:rPr>
        <w:t xml:space="preserve"> на бумажном носителе. Акт осмотра, составленный в электронной форме, подписывается усиленными квалифицированными </w:t>
      </w:r>
      <w:r>
        <w:rPr>
          <w:sz w:val="24"/>
          <w:szCs w:val="24"/>
        </w:rPr>
        <w:t>электронными подписями председателя комиссии и членов комиссии.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Акт осмотра, составленный на бумажном носителе, подписывается председателем комиссии и членами комиссии.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bookmarkStart w:id="11" w:name="sub_2037"/>
      <w:bookmarkStart w:id="12" w:name="sub_2038"/>
      <w:bookmarkEnd w:id="11"/>
      <w:bookmarkEnd w:id="12"/>
      <w:r>
        <w:rPr>
          <w:sz w:val="24"/>
          <w:szCs w:val="24"/>
        </w:rPr>
        <w:t>3.7. Акт осмотра подготавливается в течение 5 рабочих дней с момента ос</w:t>
      </w:r>
      <w:r>
        <w:rPr>
          <w:sz w:val="24"/>
          <w:szCs w:val="24"/>
        </w:rPr>
        <w:t>мотра объекта недвижимости.</w:t>
      </w:r>
    </w:p>
    <w:p w:rsidR="00DC4BAD" w:rsidRDefault="00DC4BAD">
      <w:pPr>
        <w:jc w:val="both"/>
        <w:rPr>
          <w:sz w:val="24"/>
          <w:szCs w:val="24"/>
        </w:rPr>
      </w:pPr>
    </w:p>
    <w:p w:rsidR="00DC4BAD" w:rsidRDefault="000212B4">
      <w:pPr>
        <w:pStyle w:val="Heading1"/>
        <w:rPr>
          <w:rFonts w:ascii="Times New Roman" w:hAnsi="Times New Roman"/>
          <w:sz w:val="24"/>
          <w:szCs w:val="24"/>
        </w:rPr>
      </w:pPr>
      <w:bookmarkStart w:id="13" w:name="sub_2004"/>
      <w:bookmarkEnd w:id="13"/>
      <w:r>
        <w:rPr>
          <w:rFonts w:ascii="Times New Roman" w:hAnsi="Times New Roman"/>
          <w:sz w:val="24"/>
          <w:szCs w:val="24"/>
        </w:rPr>
        <w:t>4. Обязанности комиссии</w:t>
      </w:r>
    </w:p>
    <w:p w:rsidR="00DC4BAD" w:rsidRDefault="00DC4BAD">
      <w:pPr>
        <w:rPr>
          <w:sz w:val="24"/>
          <w:szCs w:val="24"/>
        </w:rPr>
      </w:pPr>
    </w:p>
    <w:p w:rsidR="00DC4BAD" w:rsidRDefault="000212B4">
      <w:pPr>
        <w:ind w:firstLine="720"/>
        <w:jc w:val="both"/>
        <w:rPr>
          <w:sz w:val="24"/>
          <w:szCs w:val="24"/>
        </w:rPr>
      </w:pPr>
      <w:bookmarkStart w:id="14" w:name="sub_2041"/>
      <w:bookmarkEnd w:id="14"/>
      <w:r>
        <w:rPr>
          <w:sz w:val="24"/>
          <w:szCs w:val="24"/>
        </w:rPr>
        <w:t>4.1. Председатель комиссии:</w:t>
      </w:r>
    </w:p>
    <w:p w:rsidR="00DC4BAD" w:rsidRDefault="000212B4">
      <w:pPr>
        <w:jc w:val="both"/>
        <w:rPr>
          <w:sz w:val="24"/>
          <w:szCs w:val="24"/>
        </w:rPr>
      </w:pPr>
      <w:r>
        <w:rPr>
          <w:sz w:val="24"/>
          <w:szCs w:val="24"/>
        </w:rPr>
        <w:t>1) планирует, организует деятельность комиссии и руководит ею, распределяет обязанности между ее членами;</w:t>
      </w:r>
    </w:p>
    <w:p w:rsidR="00DC4BAD" w:rsidRDefault="000212B4">
      <w:pPr>
        <w:jc w:val="both"/>
        <w:rPr>
          <w:sz w:val="24"/>
          <w:szCs w:val="24"/>
        </w:rPr>
      </w:pPr>
      <w:r>
        <w:rPr>
          <w:sz w:val="24"/>
          <w:szCs w:val="24"/>
        </w:rPr>
        <w:t>2) определяет дату проведения выездов для осмотра зданий, сооружений</w:t>
      </w:r>
      <w:r>
        <w:rPr>
          <w:sz w:val="24"/>
          <w:szCs w:val="24"/>
        </w:rPr>
        <w:t xml:space="preserve">, объектов незавершенного </w:t>
      </w:r>
      <w:proofErr w:type="gramStart"/>
      <w:r>
        <w:rPr>
          <w:sz w:val="24"/>
          <w:szCs w:val="24"/>
        </w:rPr>
        <w:t>строительства</w:t>
      </w:r>
      <w:proofErr w:type="gramEnd"/>
      <w:r>
        <w:rPr>
          <w:sz w:val="24"/>
          <w:szCs w:val="24"/>
        </w:rPr>
        <w:t xml:space="preserve"> при выявлении правообладателей ранее учтенных объектов недвижимости;</w:t>
      </w:r>
    </w:p>
    <w:p w:rsidR="00DC4BAD" w:rsidRDefault="000212B4">
      <w:pPr>
        <w:jc w:val="both"/>
        <w:rPr>
          <w:sz w:val="24"/>
          <w:szCs w:val="24"/>
        </w:rPr>
      </w:pPr>
      <w:r>
        <w:rPr>
          <w:sz w:val="24"/>
          <w:szCs w:val="24"/>
        </w:rPr>
        <w:t>3) совершает иные действия по организации и обеспечению деятельности комиссии.</w:t>
      </w:r>
    </w:p>
    <w:p w:rsidR="00DC4BAD" w:rsidRDefault="000212B4">
      <w:pPr>
        <w:ind w:firstLine="720"/>
        <w:jc w:val="both"/>
        <w:rPr>
          <w:sz w:val="24"/>
          <w:szCs w:val="24"/>
        </w:rPr>
      </w:pPr>
      <w:bookmarkStart w:id="15" w:name="sub_2042"/>
      <w:bookmarkEnd w:id="15"/>
      <w:r>
        <w:rPr>
          <w:sz w:val="24"/>
          <w:szCs w:val="24"/>
        </w:rPr>
        <w:t>4.2. Члены комиссии:</w:t>
      </w:r>
    </w:p>
    <w:p w:rsidR="00DC4BAD" w:rsidRDefault="000212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участвуют в выездах для осмотра зданий, </w:t>
      </w:r>
      <w:r>
        <w:rPr>
          <w:sz w:val="24"/>
          <w:szCs w:val="24"/>
        </w:rPr>
        <w:t xml:space="preserve">сооружений, объектов незавершенного </w:t>
      </w:r>
      <w:proofErr w:type="gramStart"/>
      <w:r>
        <w:rPr>
          <w:sz w:val="24"/>
          <w:szCs w:val="24"/>
        </w:rPr>
        <w:t>строительства</w:t>
      </w:r>
      <w:proofErr w:type="gramEnd"/>
      <w:r>
        <w:rPr>
          <w:sz w:val="24"/>
          <w:szCs w:val="24"/>
        </w:rPr>
        <w:t xml:space="preserve"> при выявлении правообладателей ранее учтенных объектов недвижимости;</w:t>
      </w:r>
    </w:p>
    <w:p w:rsidR="00DC4BAD" w:rsidRDefault="000212B4">
      <w:pPr>
        <w:jc w:val="both"/>
        <w:rPr>
          <w:sz w:val="24"/>
          <w:szCs w:val="24"/>
        </w:rPr>
      </w:pPr>
      <w:r>
        <w:rPr>
          <w:sz w:val="24"/>
          <w:szCs w:val="24"/>
        </w:rPr>
        <w:t>2) подписывают Акты осмотра.</w:t>
      </w:r>
    </w:p>
    <w:p w:rsidR="00DC4BAD" w:rsidRDefault="00DC4BAD">
      <w:pPr>
        <w:jc w:val="both"/>
        <w:rPr>
          <w:sz w:val="24"/>
          <w:szCs w:val="24"/>
        </w:rPr>
      </w:pPr>
    </w:p>
    <w:p w:rsidR="00DC4BAD" w:rsidRDefault="00DC4BAD">
      <w:pPr>
        <w:ind w:firstLine="720"/>
        <w:jc w:val="both"/>
        <w:rPr>
          <w:sz w:val="24"/>
          <w:szCs w:val="24"/>
        </w:rPr>
      </w:pPr>
    </w:p>
    <w:p w:rsidR="00DC4BAD" w:rsidRDefault="00DC4BAD">
      <w:pPr>
        <w:ind w:firstLine="720"/>
        <w:jc w:val="right"/>
      </w:pPr>
    </w:p>
    <w:sectPr w:rsidR="00DC4BAD" w:rsidSect="00DC4BAD">
      <w:pgSz w:w="11906" w:h="16838"/>
      <w:pgMar w:top="567" w:right="567" w:bottom="567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proofState w:spelling="clean" w:grammar="clean"/>
  <w:defaultTabStop w:val="720"/>
  <w:characterSpacingControl w:val="doNotCompress"/>
  <w:compat/>
  <w:rsids>
    <w:rsidRoot w:val="00DC4BAD"/>
    <w:rsid w:val="000212B4"/>
    <w:rsid w:val="00DC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C3180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customStyle="1" w:styleId="Heading2">
    <w:name w:val="Heading 2"/>
    <w:basedOn w:val="a"/>
    <w:qFormat/>
    <w:rsid w:val="003C3180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Heading3">
    <w:name w:val="Heading 3"/>
    <w:basedOn w:val="a"/>
    <w:qFormat/>
    <w:rsid w:val="003C3180"/>
    <w:pPr>
      <w:keepNext/>
      <w:jc w:val="center"/>
      <w:outlineLvl w:val="2"/>
    </w:pPr>
    <w:rPr>
      <w:rFonts w:ascii="Arial" w:hAnsi="Arial"/>
      <w:b/>
      <w:sz w:val="28"/>
    </w:rPr>
  </w:style>
  <w:style w:type="paragraph" w:customStyle="1" w:styleId="Heading4">
    <w:name w:val="Heading 4"/>
    <w:basedOn w:val="a"/>
    <w:qFormat/>
    <w:rsid w:val="003C3180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qFormat/>
    <w:rsid w:val="003C3180"/>
    <w:pPr>
      <w:keepNext/>
      <w:jc w:val="both"/>
      <w:outlineLvl w:val="4"/>
    </w:pPr>
    <w:rPr>
      <w:sz w:val="26"/>
    </w:rPr>
  </w:style>
  <w:style w:type="character" w:customStyle="1" w:styleId="a3">
    <w:name w:val="Основной текст Знак"/>
    <w:basedOn w:val="a0"/>
    <w:qFormat/>
    <w:rsid w:val="00BD2159"/>
    <w:rPr>
      <w:sz w:val="24"/>
      <w:lang w:val="ru-RU" w:eastAsia="ru-RU" w:bidi="ar-SA"/>
    </w:rPr>
  </w:style>
  <w:style w:type="character" w:customStyle="1" w:styleId="2">
    <w:name w:val="Основной текст (2)_"/>
    <w:basedOn w:val="a0"/>
    <w:qFormat/>
    <w:rsid w:val="00C24238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qFormat/>
    <w:rsid w:val="00C24238"/>
    <w:rPr>
      <w:b/>
      <w:bCs/>
      <w:color w:val="000000"/>
      <w:spacing w:val="0"/>
      <w:w w:val="100"/>
      <w:sz w:val="26"/>
      <w:szCs w:val="26"/>
      <w:lang w:val="ru-RU" w:eastAsia="ru-RU" w:bidi="ru-RU"/>
    </w:rPr>
  </w:style>
  <w:style w:type="character" w:customStyle="1" w:styleId="a4">
    <w:name w:val="Схема документа Знак"/>
    <w:basedOn w:val="a0"/>
    <w:qFormat/>
    <w:rsid w:val="00F02EF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A27EEC"/>
    <w:rPr>
      <w:b/>
      <w:bCs/>
      <w:color w:val="106BBE"/>
    </w:rPr>
  </w:style>
  <w:style w:type="character" w:customStyle="1" w:styleId="ListLabel1">
    <w:name w:val="ListLabel 1"/>
    <w:qFormat/>
    <w:rsid w:val="00DC4BAD"/>
    <w:rPr>
      <w:rFonts w:cs="Courier New"/>
    </w:rPr>
  </w:style>
  <w:style w:type="character" w:customStyle="1" w:styleId="ListLabel2">
    <w:name w:val="ListLabel 2"/>
    <w:qFormat/>
    <w:rsid w:val="00DC4BAD"/>
    <w:rPr>
      <w:rFonts w:cs="Courier New"/>
    </w:rPr>
  </w:style>
  <w:style w:type="character" w:customStyle="1" w:styleId="ListLabel3">
    <w:name w:val="ListLabel 3"/>
    <w:qFormat/>
    <w:rsid w:val="00DC4BAD"/>
    <w:rPr>
      <w:rFonts w:cs="Courier New"/>
    </w:rPr>
  </w:style>
  <w:style w:type="character" w:customStyle="1" w:styleId="ListLabel4">
    <w:name w:val="ListLabel 4"/>
    <w:qFormat/>
    <w:rsid w:val="00DC4BAD"/>
    <w:rPr>
      <w:rFonts w:cs="Courier New"/>
    </w:rPr>
  </w:style>
  <w:style w:type="character" w:customStyle="1" w:styleId="ListLabel5">
    <w:name w:val="ListLabel 5"/>
    <w:qFormat/>
    <w:rsid w:val="00DC4BAD"/>
    <w:rPr>
      <w:rFonts w:cs="Courier New"/>
    </w:rPr>
  </w:style>
  <w:style w:type="character" w:customStyle="1" w:styleId="ListLabel6">
    <w:name w:val="ListLabel 6"/>
    <w:qFormat/>
    <w:rsid w:val="00DC4BAD"/>
    <w:rPr>
      <w:rFonts w:cs="Courier New"/>
    </w:rPr>
  </w:style>
  <w:style w:type="character" w:customStyle="1" w:styleId="ListLabel7">
    <w:name w:val="ListLabel 7"/>
    <w:qFormat/>
    <w:rsid w:val="00DC4BAD"/>
    <w:rPr>
      <w:rFonts w:cs="Courier New"/>
    </w:rPr>
  </w:style>
  <w:style w:type="character" w:customStyle="1" w:styleId="ListLabel8">
    <w:name w:val="ListLabel 8"/>
    <w:qFormat/>
    <w:rsid w:val="00DC4BAD"/>
    <w:rPr>
      <w:rFonts w:cs="Courier New"/>
    </w:rPr>
  </w:style>
  <w:style w:type="character" w:customStyle="1" w:styleId="ListLabel9">
    <w:name w:val="ListLabel 9"/>
    <w:qFormat/>
    <w:rsid w:val="00DC4BAD"/>
    <w:rPr>
      <w:rFonts w:cs="Courier New"/>
    </w:rPr>
  </w:style>
  <w:style w:type="character" w:customStyle="1" w:styleId="ListLabel10">
    <w:name w:val="ListLabel 10"/>
    <w:qFormat/>
    <w:rsid w:val="00DC4BAD"/>
    <w:rPr>
      <w:rFonts w:cs="Courier New"/>
    </w:rPr>
  </w:style>
  <w:style w:type="character" w:customStyle="1" w:styleId="ListLabel11">
    <w:name w:val="ListLabel 11"/>
    <w:qFormat/>
    <w:rsid w:val="00DC4BAD"/>
    <w:rPr>
      <w:rFonts w:cs="Courier New"/>
    </w:rPr>
  </w:style>
  <w:style w:type="character" w:customStyle="1" w:styleId="ListLabel12">
    <w:name w:val="ListLabel 12"/>
    <w:qFormat/>
    <w:rsid w:val="00DC4BAD"/>
    <w:rPr>
      <w:rFonts w:cs="Courier New"/>
    </w:rPr>
  </w:style>
  <w:style w:type="character" w:customStyle="1" w:styleId="ListLabel13">
    <w:name w:val="ListLabel 13"/>
    <w:qFormat/>
    <w:rsid w:val="00DC4BAD"/>
    <w:rPr>
      <w:sz w:val="27"/>
    </w:rPr>
  </w:style>
  <w:style w:type="character" w:customStyle="1" w:styleId="ListLabel14">
    <w:name w:val="ListLabel 14"/>
    <w:qFormat/>
    <w:rsid w:val="00DC4BAD"/>
    <w:rPr>
      <w:rFonts w:cs="Courier New"/>
    </w:rPr>
  </w:style>
  <w:style w:type="character" w:customStyle="1" w:styleId="ListLabel15">
    <w:name w:val="ListLabel 15"/>
    <w:qFormat/>
    <w:rsid w:val="00DC4BAD"/>
    <w:rPr>
      <w:rFonts w:cs="Courier New"/>
    </w:rPr>
  </w:style>
  <w:style w:type="character" w:customStyle="1" w:styleId="ListLabel16">
    <w:name w:val="ListLabel 16"/>
    <w:qFormat/>
    <w:rsid w:val="00DC4BAD"/>
    <w:rPr>
      <w:rFonts w:cs="Courier New"/>
    </w:rPr>
  </w:style>
  <w:style w:type="character" w:customStyle="1" w:styleId="ListLabel17">
    <w:name w:val="ListLabel 17"/>
    <w:qFormat/>
    <w:rsid w:val="00DC4BAD"/>
    <w:rPr>
      <w:rFonts w:cs="Courier New"/>
    </w:rPr>
  </w:style>
  <w:style w:type="character" w:customStyle="1" w:styleId="ListLabel18">
    <w:name w:val="ListLabel 18"/>
    <w:qFormat/>
    <w:rsid w:val="00DC4BAD"/>
    <w:rPr>
      <w:rFonts w:cs="Courier New"/>
    </w:rPr>
  </w:style>
  <w:style w:type="character" w:customStyle="1" w:styleId="ListLabel19">
    <w:name w:val="ListLabel 19"/>
    <w:qFormat/>
    <w:rsid w:val="00DC4BAD"/>
    <w:rPr>
      <w:rFonts w:cs="Courier New"/>
    </w:rPr>
  </w:style>
  <w:style w:type="character" w:customStyle="1" w:styleId="ListLabel20">
    <w:name w:val="ListLabel 20"/>
    <w:qFormat/>
    <w:rsid w:val="00DC4BAD"/>
    <w:rPr>
      <w:rFonts w:cs="Courier New"/>
    </w:rPr>
  </w:style>
  <w:style w:type="character" w:customStyle="1" w:styleId="ListLabel21">
    <w:name w:val="ListLabel 21"/>
    <w:qFormat/>
    <w:rsid w:val="00DC4BAD"/>
    <w:rPr>
      <w:rFonts w:cs="Courier New"/>
    </w:rPr>
  </w:style>
  <w:style w:type="character" w:customStyle="1" w:styleId="ListLabel22">
    <w:name w:val="ListLabel 22"/>
    <w:qFormat/>
    <w:rsid w:val="00DC4BAD"/>
    <w:rPr>
      <w:rFonts w:cs="Courier New"/>
    </w:rPr>
  </w:style>
  <w:style w:type="character" w:customStyle="1" w:styleId="ListLabel23">
    <w:name w:val="ListLabel 23"/>
    <w:qFormat/>
    <w:rsid w:val="00DC4BAD"/>
    <w:rPr>
      <w:i/>
    </w:rPr>
  </w:style>
  <w:style w:type="character" w:customStyle="1" w:styleId="ListLabel24">
    <w:name w:val="ListLabel 24"/>
    <w:qFormat/>
    <w:rsid w:val="00DC4BAD"/>
    <w:rPr>
      <w:rFonts w:cs="Courier New"/>
    </w:rPr>
  </w:style>
  <w:style w:type="character" w:customStyle="1" w:styleId="ListLabel25">
    <w:name w:val="ListLabel 25"/>
    <w:qFormat/>
    <w:rsid w:val="00DC4BAD"/>
    <w:rPr>
      <w:rFonts w:cs="Courier New"/>
    </w:rPr>
  </w:style>
  <w:style w:type="character" w:customStyle="1" w:styleId="ListLabel26">
    <w:name w:val="ListLabel 26"/>
    <w:qFormat/>
    <w:rsid w:val="00DC4BAD"/>
    <w:rPr>
      <w:rFonts w:cs="Courier New"/>
    </w:rPr>
  </w:style>
  <w:style w:type="character" w:customStyle="1" w:styleId="ListLabel27">
    <w:name w:val="ListLabel 27"/>
    <w:qFormat/>
    <w:rsid w:val="00DC4BAD"/>
    <w:rPr>
      <w:rFonts w:cs="Courier New"/>
    </w:rPr>
  </w:style>
  <w:style w:type="character" w:customStyle="1" w:styleId="ListLabel28">
    <w:name w:val="ListLabel 28"/>
    <w:qFormat/>
    <w:rsid w:val="00DC4BAD"/>
    <w:rPr>
      <w:rFonts w:cs="Courier New"/>
    </w:rPr>
  </w:style>
  <w:style w:type="character" w:customStyle="1" w:styleId="ListLabel29">
    <w:name w:val="ListLabel 29"/>
    <w:qFormat/>
    <w:rsid w:val="00DC4BAD"/>
    <w:rPr>
      <w:rFonts w:cs="Courier New"/>
    </w:rPr>
  </w:style>
  <w:style w:type="character" w:customStyle="1" w:styleId="ListLabel30">
    <w:name w:val="ListLabel 30"/>
    <w:qFormat/>
    <w:rsid w:val="00DC4BAD"/>
    <w:rPr>
      <w:b/>
      <w:sz w:val="26"/>
    </w:rPr>
  </w:style>
  <w:style w:type="character" w:customStyle="1" w:styleId="-">
    <w:name w:val="Интернет-ссылка"/>
    <w:rsid w:val="00DC4BAD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C4B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3180"/>
    <w:pPr>
      <w:jc w:val="both"/>
    </w:pPr>
    <w:rPr>
      <w:sz w:val="24"/>
    </w:rPr>
  </w:style>
  <w:style w:type="paragraph" w:styleId="a8">
    <w:name w:val="List"/>
    <w:basedOn w:val="a7"/>
    <w:rsid w:val="00DC4BAD"/>
    <w:rPr>
      <w:rFonts w:cs="Mangal"/>
    </w:rPr>
  </w:style>
  <w:style w:type="paragraph" w:customStyle="1" w:styleId="Caption">
    <w:name w:val="Caption"/>
    <w:basedOn w:val="a"/>
    <w:qFormat/>
    <w:rsid w:val="00DC4B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C4BAD"/>
    <w:pPr>
      <w:suppressLineNumbers/>
    </w:pPr>
    <w:rPr>
      <w:rFonts w:cs="Mangal"/>
    </w:rPr>
  </w:style>
  <w:style w:type="paragraph" w:styleId="20">
    <w:name w:val="Body Text 2"/>
    <w:basedOn w:val="a"/>
    <w:qFormat/>
    <w:rsid w:val="003C3180"/>
    <w:pPr>
      <w:jc w:val="center"/>
    </w:pPr>
    <w:rPr>
      <w:i/>
    </w:rPr>
  </w:style>
  <w:style w:type="paragraph" w:styleId="aa">
    <w:name w:val="Balloon Text"/>
    <w:basedOn w:val="a"/>
    <w:semiHidden/>
    <w:qFormat/>
    <w:rsid w:val="00DD7E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qFormat/>
    <w:rsid w:val="00430C68"/>
    <w:pPr>
      <w:spacing w:after="120" w:line="480" w:lineRule="auto"/>
      <w:ind w:left="283"/>
    </w:pPr>
  </w:style>
  <w:style w:type="paragraph" w:styleId="ab">
    <w:name w:val="Body Text Indent"/>
    <w:basedOn w:val="a"/>
    <w:rsid w:val="006A1470"/>
    <w:pPr>
      <w:spacing w:after="120"/>
      <w:ind w:left="283"/>
    </w:pPr>
  </w:style>
  <w:style w:type="paragraph" w:customStyle="1" w:styleId="ac">
    <w:name w:val="Знак Знак Знак Знак Знак Знак Знак"/>
    <w:basedOn w:val="a"/>
    <w:qFormat/>
    <w:rsid w:val="00F03442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qFormat/>
    <w:rsid w:val="00446ED4"/>
    <w:pPr>
      <w:jc w:val="center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4D3CCA"/>
    <w:rPr>
      <w:color w:val="000000"/>
      <w:sz w:val="24"/>
      <w:szCs w:val="24"/>
    </w:rPr>
  </w:style>
  <w:style w:type="paragraph" w:customStyle="1" w:styleId="22">
    <w:name w:val="Основной текст (2)"/>
    <w:basedOn w:val="a"/>
    <w:link w:val="22"/>
    <w:qFormat/>
    <w:rsid w:val="00C24238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e">
    <w:name w:val="Document Map"/>
    <w:basedOn w:val="a"/>
    <w:qFormat/>
    <w:rsid w:val="00F02E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A79DC"/>
    <w:pPr>
      <w:ind w:left="720"/>
      <w:contextualSpacing/>
    </w:pPr>
  </w:style>
  <w:style w:type="paragraph" w:customStyle="1" w:styleId="af0">
    <w:name w:val="Нормальный (таблица)"/>
    <w:basedOn w:val="a"/>
    <w:uiPriority w:val="99"/>
    <w:qFormat/>
    <w:rsid w:val="003548E1"/>
    <w:pPr>
      <w:widowControl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3548E1"/>
    <w:pPr>
      <w:widowControl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2">
    <w:name w:val="No Spacing"/>
    <w:uiPriority w:val="1"/>
    <w:qFormat/>
    <w:rsid w:val="005C6675"/>
    <w:rPr>
      <w:sz w:val="24"/>
      <w:szCs w:val="24"/>
    </w:rPr>
  </w:style>
  <w:style w:type="table" w:styleId="af3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192/1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129192/101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0889833/2000" TargetMode="External"/><Relationship Id="rId5" Type="http://schemas.openxmlformats.org/officeDocument/2006/relationships/hyperlink" Target="http://internet.garant.ru/document/redirect/6976882/1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7D74-2458-49A0-8D0E-A3A3204B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Хозяин</cp:lastModifiedBy>
  <cp:revision>2</cp:revision>
  <cp:lastPrinted>2021-12-07T14:28:00Z</cp:lastPrinted>
  <dcterms:created xsi:type="dcterms:W3CDTF">2021-12-07T20:35:00Z</dcterms:created>
  <dcterms:modified xsi:type="dcterms:W3CDTF">2021-12-07T20:35:00Z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